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B45E4" w14:textId="3C38D52D" w:rsidR="00FD3D78" w:rsidRPr="004061DA" w:rsidRDefault="004061DA" w:rsidP="004136CC">
      <w:pPr>
        <w:pStyle w:val="Heading3"/>
      </w:pPr>
      <w:r>
        <w:rPr>
          <w:sz w:val="28"/>
          <w:szCs w:val="28"/>
        </w:rPr>
        <w:t xml:space="preserve">Scenario </w:t>
      </w:r>
      <w:r w:rsidR="004136CC">
        <w:rPr>
          <w:sz w:val="28"/>
          <w:szCs w:val="28"/>
        </w:rPr>
        <w:t>2</w:t>
      </w:r>
      <w:bookmarkStart w:id="0" w:name="_GoBack"/>
      <w:bookmarkEnd w:id="0"/>
      <w:r w:rsidR="000E6967">
        <w:rPr>
          <w:sz w:val="28"/>
          <w:szCs w:val="28"/>
        </w:rPr>
        <w:t xml:space="preserve"> </w:t>
      </w:r>
      <w:r w:rsidRPr="0027121F">
        <w:rPr>
          <w:sz w:val="28"/>
          <w:szCs w:val="28"/>
        </w:rPr>
        <w:t xml:space="preserve">- </w:t>
      </w:r>
      <w:r w:rsidR="00FD3D78" w:rsidRPr="0027121F">
        <w:rPr>
          <w:sz w:val="28"/>
          <w:szCs w:val="28"/>
        </w:rPr>
        <w:t xml:space="preserve">Protracted conflict – fictitious country of </w:t>
      </w:r>
      <w:proofErr w:type="spellStart"/>
      <w:r w:rsidR="00FD3D78" w:rsidRPr="0027121F">
        <w:rPr>
          <w:sz w:val="28"/>
          <w:szCs w:val="28"/>
        </w:rPr>
        <w:t>Baga</w:t>
      </w:r>
      <w:proofErr w:type="spellEnd"/>
    </w:p>
    <w:p w14:paraId="3B13A280" w14:textId="60FA978C" w:rsidR="000E6967" w:rsidRPr="0027121F" w:rsidRDefault="004061DA" w:rsidP="004A3FEE">
      <w:pPr>
        <w:pStyle w:val="Heading5"/>
        <w:rPr>
          <w:rFonts w:ascii="Tahoma" w:eastAsiaTheme="majorEastAsia" w:hAnsi="Tahoma" w:cs="Arial"/>
          <w:iCs w:val="0"/>
          <w:kern w:val="32"/>
          <w:sz w:val="24"/>
          <w:szCs w:val="24"/>
        </w:rPr>
      </w:pPr>
      <w:r w:rsidRPr="0027121F">
        <w:rPr>
          <w:rFonts w:ascii="Tahoma" w:eastAsiaTheme="majorEastAsia" w:hAnsi="Tahoma" w:cs="Arial"/>
          <w:iCs w:val="0"/>
          <w:kern w:val="32"/>
          <w:sz w:val="24"/>
          <w:szCs w:val="24"/>
        </w:rPr>
        <w:t>(Group work on the joint use of Sphere and LEGS)</w:t>
      </w:r>
    </w:p>
    <w:p w14:paraId="0894B8D8" w14:textId="77777777" w:rsidR="004061DA" w:rsidRPr="004061DA" w:rsidRDefault="004061DA" w:rsidP="004061DA"/>
    <w:p w14:paraId="6F43FC8E" w14:textId="77777777" w:rsidR="004A3FEE" w:rsidRPr="00DD767E" w:rsidRDefault="004A3FEE" w:rsidP="004A3FEE">
      <w:pPr>
        <w:pStyle w:val="Heading5"/>
      </w:pPr>
      <w:r w:rsidRPr="00DD767E">
        <w:t>Background</w:t>
      </w:r>
    </w:p>
    <w:p w14:paraId="082F1F6A" w14:textId="285C8AC9" w:rsidR="00CD4CE2" w:rsidRPr="00CD4CE2" w:rsidRDefault="000129E6" w:rsidP="000E6967">
      <w:r>
        <w:t xml:space="preserve">You are working in the country of </w:t>
      </w:r>
      <w:proofErr w:type="spellStart"/>
      <w:r>
        <w:t>Baga</w:t>
      </w:r>
      <w:proofErr w:type="spellEnd"/>
      <w:r>
        <w:t xml:space="preserve"> which has been going through an internal conflict for over ten years. </w:t>
      </w:r>
      <w:proofErr w:type="spellStart"/>
      <w:r w:rsidR="00CD4CE2" w:rsidRPr="00CD4CE2">
        <w:t>Domistana</w:t>
      </w:r>
      <w:proofErr w:type="spellEnd"/>
      <w:r w:rsidR="00CD4CE2" w:rsidRPr="00CD4CE2">
        <w:t xml:space="preserve"> remains one of the most insecure and unstable regions of the country. As a result, there is little infrastructure</w:t>
      </w:r>
      <w:r w:rsidR="006E3488">
        <w:t xml:space="preserve"> </w:t>
      </w:r>
      <w:r w:rsidR="000E6967">
        <w:t>there</w:t>
      </w:r>
      <w:r w:rsidR="00CD4CE2" w:rsidRPr="00CD4CE2">
        <w:t xml:space="preserve">, and many government institutions and social services have shut down. Following clashes between warring factions and as a consequence of continued sieges and attacks to the towns, a large number of displaced persons have been in almost constant flight. During outbursts of violence, people are forced to leave their homes in search of safe shelter in the surrounding areas, either staying with friends or relatives in nearby villages, or in collective displacement locations. Some return home as soon as the clashes stop, while many stay away for a longer period of time. As a result, children are not able to continue their studies with any regularity, and many displaced children drop out of school upon returning from displacement. </w:t>
      </w:r>
    </w:p>
    <w:p w14:paraId="12D4ECFE" w14:textId="77777777" w:rsidR="00CD4CE2" w:rsidRPr="00CD4CE2" w:rsidRDefault="00CD4CE2" w:rsidP="00CD4CE2"/>
    <w:p w14:paraId="0D948AB1" w14:textId="14875396" w:rsidR="00CD4CE2" w:rsidRPr="00FD3D78" w:rsidRDefault="00CD4CE2" w:rsidP="00FD3D78">
      <w:pPr>
        <w:pStyle w:val="Heading5"/>
      </w:pPr>
      <w:r w:rsidRPr="00FD3D78">
        <w:t xml:space="preserve">Barriers to Education: </w:t>
      </w:r>
    </w:p>
    <w:p w14:paraId="1699678B" w14:textId="77777777" w:rsidR="00CD4CE2" w:rsidRPr="002F74D7" w:rsidRDefault="00CD4CE2" w:rsidP="00FD3D78">
      <w:pPr>
        <w:pStyle w:val="Heading5"/>
        <w:rPr>
          <w:b w:val="0"/>
          <w:bCs w:val="0"/>
        </w:rPr>
      </w:pPr>
      <w:r w:rsidRPr="002F74D7">
        <w:rPr>
          <w:b w:val="0"/>
          <w:bCs w:val="0"/>
        </w:rPr>
        <w:t>Shelter and Health</w:t>
      </w:r>
    </w:p>
    <w:p w14:paraId="1625FEAA" w14:textId="77777777" w:rsidR="00CD4CE2" w:rsidRPr="00CD4CE2" w:rsidRDefault="00CD4CE2" w:rsidP="00CD4CE2">
      <w:r w:rsidRPr="00CD4CE2">
        <w:t>Living for long stretches in densely populated IDP camps or overcrowded households with poor sanitation facilities during times of displacement can inevitably lead to unsanitary conditions, and health problems. Health workers note outbreaks of cholera, malaria, while other water-borne or vector-borne diseases are not uncommon in such conditions. Many children die from these diseases, or return home from being displaced too ill and weakened to return to school.</w:t>
      </w:r>
    </w:p>
    <w:p w14:paraId="15B1AE53" w14:textId="77777777" w:rsidR="00CD4CE2" w:rsidRPr="002F74D7" w:rsidRDefault="00CD4CE2" w:rsidP="00FD3D78">
      <w:pPr>
        <w:pStyle w:val="Heading5"/>
        <w:rPr>
          <w:b w:val="0"/>
          <w:bCs w:val="0"/>
        </w:rPr>
      </w:pPr>
      <w:r w:rsidRPr="002F74D7">
        <w:rPr>
          <w:b w:val="0"/>
          <w:bCs w:val="0"/>
        </w:rPr>
        <w:t xml:space="preserve">WASH </w:t>
      </w:r>
    </w:p>
    <w:p w14:paraId="5C796218" w14:textId="77777777" w:rsidR="00CD4CE2" w:rsidRPr="00CD4CE2" w:rsidRDefault="00CD4CE2" w:rsidP="00CD4CE2">
      <w:r w:rsidRPr="00CD4CE2">
        <w:t xml:space="preserve">The Infrastructure of the schools in </w:t>
      </w:r>
      <w:proofErr w:type="spellStart"/>
      <w:r w:rsidRPr="00CD4CE2">
        <w:t>Buca</w:t>
      </w:r>
      <w:proofErr w:type="spellEnd"/>
      <w:r w:rsidRPr="00CD4CE2">
        <w:t xml:space="preserve">, a city in </w:t>
      </w:r>
      <w:proofErr w:type="spellStart"/>
      <w:r w:rsidRPr="00CD4CE2">
        <w:t>Domistana</w:t>
      </w:r>
      <w:proofErr w:type="spellEnd"/>
      <w:r w:rsidRPr="00CD4CE2">
        <w:t xml:space="preserve"> is inadequate; many schools are overcrowded, are either completely lacking or do not have enough latrines or sanitation stations, and latrines are most often gender-neutral. There is currently an incredibly sharp dropout rate amongst girls in the region once they have reached the age of puberty. </w:t>
      </w:r>
    </w:p>
    <w:p w14:paraId="397B86EE" w14:textId="77777777" w:rsidR="00CD4CE2" w:rsidRPr="002F74D7" w:rsidRDefault="00CD4CE2" w:rsidP="00FD3D78">
      <w:pPr>
        <w:pStyle w:val="Heading5"/>
        <w:rPr>
          <w:b w:val="0"/>
          <w:bCs w:val="0"/>
        </w:rPr>
      </w:pPr>
      <w:r w:rsidRPr="002F74D7">
        <w:rPr>
          <w:b w:val="0"/>
          <w:bCs w:val="0"/>
        </w:rPr>
        <w:t xml:space="preserve">Food </w:t>
      </w:r>
    </w:p>
    <w:p w14:paraId="52F42AA8" w14:textId="77777777" w:rsidR="00CD4CE2" w:rsidRPr="00CD4CE2" w:rsidRDefault="00CD4CE2" w:rsidP="00CD4CE2">
      <w:r w:rsidRPr="00CD4CE2">
        <w:t xml:space="preserve">The continually displaced community does not have the ability to produce/ provide enough food for themselves, although an NGO is providing supplemental food rations in a school. </w:t>
      </w:r>
    </w:p>
    <w:p w14:paraId="5917B37B" w14:textId="77777777" w:rsidR="00CD4CE2" w:rsidRPr="002F74D7" w:rsidRDefault="00CD4CE2" w:rsidP="00FD3D78">
      <w:pPr>
        <w:pStyle w:val="Heading5"/>
        <w:rPr>
          <w:b w:val="0"/>
          <w:bCs w:val="0"/>
        </w:rPr>
      </w:pPr>
      <w:r w:rsidRPr="002F74D7">
        <w:rPr>
          <w:b w:val="0"/>
          <w:bCs w:val="0"/>
        </w:rPr>
        <w:t>Protection</w:t>
      </w:r>
    </w:p>
    <w:p w14:paraId="7D4D6A7E" w14:textId="77777777" w:rsidR="00CD4CE2" w:rsidRPr="00CD4CE2" w:rsidRDefault="00CD4CE2" w:rsidP="00CD4CE2">
      <w:r w:rsidRPr="00CD4CE2">
        <w:t>Some children are also forcibly recruited by militias.</w:t>
      </w:r>
    </w:p>
    <w:p w14:paraId="1DFB6ACC" w14:textId="77777777" w:rsidR="00CD4CE2" w:rsidRPr="00572DE4" w:rsidRDefault="00CD4CE2" w:rsidP="00CD4CE2">
      <w:pPr>
        <w:rPr>
          <w:rFonts w:asciiTheme="majorBidi" w:hAnsiTheme="majorBidi" w:cstheme="majorBidi"/>
        </w:rPr>
      </w:pPr>
    </w:p>
    <w:p w14:paraId="3717C4DC" w14:textId="77777777" w:rsidR="004A3FEE" w:rsidRDefault="004A3FEE" w:rsidP="004A3FEE">
      <w:pPr>
        <w:widowControl w:val="0"/>
        <w:kinsoku w:val="0"/>
        <w:overflowPunct w:val="0"/>
        <w:autoSpaceDE w:val="0"/>
        <w:adjustRightInd w:val="0"/>
        <w:spacing w:before="0" w:line="260" w:lineRule="auto"/>
        <w:ind w:left="347" w:right="114"/>
        <w:rPr>
          <w:rFonts w:asciiTheme="minorHAnsi" w:hAnsiTheme="minorHAnsi"/>
          <w:szCs w:val="22"/>
        </w:rPr>
      </w:pPr>
    </w:p>
    <w:p w14:paraId="1D5327A4"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1A247E45"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050CDFAE"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59EDDC0B"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151F76ED"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73222F45"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017C6DB8"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1D89E4DE"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4E1DD4E4"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697D15AA"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7EB51364" w14:textId="77777777" w:rsidR="00FD3D78" w:rsidRDefault="00FD3D78" w:rsidP="004A3FEE">
      <w:pPr>
        <w:widowControl w:val="0"/>
        <w:kinsoku w:val="0"/>
        <w:overflowPunct w:val="0"/>
        <w:autoSpaceDE w:val="0"/>
        <w:adjustRightInd w:val="0"/>
        <w:spacing w:before="0" w:line="260" w:lineRule="auto"/>
        <w:ind w:left="347" w:right="114"/>
        <w:rPr>
          <w:rFonts w:asciiTheme="minorHAnsi" w:hAnsiTheme="minorHAnsi"/>
          <w:szCs w:val="22"/>
        </w:rPr>
      </w:pPr>
    </w:p>
    <w:p w14:paraId="03B5CE1B" w14:textId="0E62C753" w:rsidR="00FD3D78" w:rsidRPr="00FB7161" w:rsidRDefault="00FB7161" w:rsidP="004A3FEE">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r w:rsidRPr="00FB7161">
        <w:rPr>
          <w:rFonts w:ascii="Tahoma" w:eastAsiaTheme="majorEastAsia" w:hAnsi="Tahoma" w:cs="Arial"/>
          <w:b/>
          <w:color w:val="004386" w:themeColor="text2"/>
          <w:kern w:val="32"/>
          <w:sz w:val="24"/>
        </w:rPr>
        <w:lastRenderedPageBreak/>
        <w:t>References in the Sphere Handbook and INEE Handbook for the case study discussion</w:t>
      </w:r>
    </w:p>
    <w:p w14:paraId="4AE4916D" w14:textId="77777777" w:rsidR="00FB7161" w:rsidRPr="00FB7161" w:rsidRDefault="00FB7161" w:rsidP="004A3FEE">
      <w:pPr>
        <w:widowControl w:val="0"/>
        <w:kinsoku w:val="0"/>
        <w:overflowPunct w:val="0"/>
        <w:autoSpaceDE w:val="0"/>
        <w:adjustRightInd w:val="0"/>
        <w:spacing w:before="0" w:line="260" w:lineRule="auto"/>
        <w:ind w:left="347" w:right="114"/>
        <w:rPr>
          <w:rFonts w:ascii="Tahoma" w:eastAsiaTheme="majorEastAsia" w:hAnsi="Tahoma" w:cs="Arial"/>
          <w:b/>
          <w:color w:val="004386" w:themeColor="text2"/>
          <w:kern w:val="32"/>
          <w:sz w:val="24"/>
        </w:rPr>
      </w:pPr>
    </w:p>
    <w:tbl>
      <w:tblPr>
        <w:tblStyle w:val="TableGrid"/>
        <w:tblW w:w="0" w:type="auto"/>
        <w:tblInd w:w="34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185"/>
        <w:gridCol w:w="5201"/>
        <w:gridCol w:w="1664"/>
      </w:tblGrid>
      <w:tr w:rsidR="004A3FEE" w:rsidRPr="00DD767E" w14:paraId="36967FD2" w14:textId="77777777" w:rsidTr="00FD3D78">
        <w:tc>
          <w:tcPr>
            <w:tcW w:w="2185" w:type="dxa"/>
            <w:vMerge w:val="restart"/>
            <w:shd w:val="clear" w:color="auto" w:fill="FCCD74" w:themeFill="accent3" w:themeFillTint="99"/>
            <w:vAlign w:val="center"/>
          </w:tcPr>
          <w:p w14:paraId="25E80B75" w14:textId="39B21940" w:rsidR="004A3FEE" w:rsidRPr="002F74D7" w:rsidRDefault="00F86158" w:rsidP="00F86158">
            <w:pPr>
              <w:widowControl w:val="0"/>
              <w:kinsoku w:val="0"/>
              <w:overflowPunct w:val="0"/>
              <w:autoSpaceDE w:val="0"/>
              <w:adjustRightInd w:val="0"/>
              <w:spacing w:before="0" w:line="260" w:lineRule="auto"/>
              <w:ind w:right="114"/>
              <w:jc w:val="center"/>
              <w:rPr>
                <w:rFonts w:asciiTheme="majorHAnsi" w:hAnsiTheme="majorHAnsi"/>
                <w:b/>
              </w:rPr>
            </w:pPr>
            <w:r w:rsidRPr="002F74D7">
              <w:rPr>
                <w:rFonts w:asciiTheme="majorHAnsi" w:hAnsiTheme="majorHAnsi"/>
                <w:b/>
                <w:noProof/>
                <w:lang w:eastAsia="en-GB"/>
              </w:rPr>
              <w:drawing>
                <wp:inline distT="0" distB="0" distL="0" distR="0" wp14:anchorId="007F8711" wp14:editId="376D5059">
                  <wp:extent cx="891489" cy="1260000"/>
                  <wp:effectExtent l="0" t="0" r="0" b="1016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here-Handbook-cover.png"/>
                          <pic:cNvPicPr/>
                        </pic:nvPicPr>
                        <pic:blipFill>
                          <a:blip r:embed="rId7">
                            <a:extLst>
                              <a:ext uri="{28A0092B-C50C-407E-A947-70E740481C1C}">
                                <a14:useLocalDpi xmlns:a14="http://schemas.microsoft.com/office/drawing/2010/main" val="0"/>
                              </a:ext>
                            </a:extLst>
                          </a:blip>
                          <a:stretch>
                            <a:fillRect/>
                          </a:stretch>
                        </pic:blipFill>
                        <pic:spPr>
                          <a:xfrm>
                            <a:off x="0" y="0"/>
                            <a:ext cx="891489" cy="1260000"/>
                          </a:xfrm>
                          <a:prstGeom prst="rect">
                            <a:avLst/>
                          </a:prstGeom>
                        </pic:spPr>
                      </pic:pic>
                    </a:graphicData>
                  </a:graphic>
                </wp:inline>
              </w:drawing>
            </w:r>
          </w:p>
        </w:tc>
        <w:tc>
          <w:tcPr>
            <w:tcW w:w="5201" w:type="dxa"/>
            <w:shd w:val="clear" w:color="auto" w:fill="FCCD74" w:themeFill="accent3" w:themeFillTint="99"/>
          </w:tcPr>
          <w:p w14:paraId="520C51AF" w14:textId="77777777" w:rsidR="004A3FEE" w:rsidRPr="002F74D7" w:rsidRDefault="004A3FEE" w:rsidP="00331B18">
            <w:pPr>
              <w:widowControl w:val="0"/>
              <w:kinsoku w:val="0"/>
              <w:overflowPunct w:val="0"/>
              <w:autoSpaceDE w:val="0"/>
              <w:adjustRightInd w:val="0"/>
              <w:spacing w:before="0" w:line="260" w:lineRule="auto"/>
              <w:ind w:right="114"/>
              <w:rPr>
                <w:rFonts w:asciiTheme="majorHAnsi" w:hAnsiTheme="majorHAnsi"/>
                <w:b/>
              </w:rPr>
            </w:pPr>
            <w:r w:rsidRPr="002F74D7">
              <w:rPr>
                <w:rFonts w:asciiTheme="majorHAnsi" w:hAnsiTheme="majorHAnsi"/>
                <w:b/>
              </w:rPr>
              <w:t>Related Elements of the Sphere handbook</w:t>
            </w:r>
          </w:p>
        </w:tc>
        <w:tc>
          <w:tcPr>
            <w:tcW w:w="1664" w:type="dxa"/>
            <w:shd w:val="clear" w:color="auto" w:fill="FCCD74" w:themeFill="accent3" w:themeFillTint="99"/>
          </w:tcPr>
          <w:p w14:paraId="3DA679AC" w14:textId="7070D231" w:rsidR="004A3FEE" w:rsidRPr="002F74D7" w:rsidRDefault="004A3FEE" w:rsidP="002F74D7">
            <w:pPr>
              <w:widowControl w:val="0"/>
              <w:kinsoku w:val="0"/>
              <w:overflowPunct w:val="0"/>
              <w:autoSpaceDE w:val="0"/>
              <w:adjustRightInd w:val="0"/>
              <w:spacing w:before="0" w:line="260" w:lineRule="auto"/>
              <w:ind w:right="114"/>
              <w:rPr>
                <w:rFonts w:asciiTheme="majorHAnsi" w:hAnsiTheme="majorHAnsi"/>
                <w:b/>
              </w:rPr>
            </w:pPr>
            <w:r w:rsidRPr="002F74D7">
              <w:rPr>
                <w:rFonts w:asciiTheme="majorHAnsi" w:hAnsiTheme="majorHAnsi"/>
                <w:b/>
              </w:rPr>
              <w:t>S</w:t>
            </w:r>
            <w:r w:rsidR="002F74D7">
              <w:rPr>
                <w:rFonts w:asciiTheme="majorHAnsi" w:hAnsiTheme="majorHAnsi"/>
                <w:b/>
              </w:rPr>
              <w:t>phere</w:t>
            </w:r>
            <w:r w:rsidRPr="002F74D7">
              <w:rPr>
                <w:rFonts w:asciiTheme="majorHAnsi" w:hAnsiTheme="majorHAnsi"/>
                <w:b/>
              </w:rPr>
              <w:t xml:space="preserve"> pages</w:t>
            </w:r>
          </w:p>
        </w:tc>
      </w:tr>
      <w:tr w:rsidR="00FD3D78" w:rsidRPr="00DD767E" w14:paraId="74E7298E" w14:textId="77777777" w:rsidTr="00FD3D78">
        <w:tc>
          <w:tcPr>
            <w:tcW w:w="2185" w:type="dxa"/>
            <w:vMerge/>
          </w:tcPr>
          <w:p w14:paraId="46B267F1"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p>
        </w:tc>
        <w:tc>
          <w:tcPr>
            <w:tcW w:w="5201" w:type="dxa"/>
          </w:tcPr>
          <w:p w14:paraId="454A5B6C" w14:textId="01774055"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Humanitarian Charter and Code of Conduct (Principles 5, 6, 7, 9)</w:t>
            </w:r>
          </w:p>
        </w:tc>
        <w:tc>
          <w:tcPr>
            <w:tcW w:w="1664" w:type="dxa"/>
          </w:tcPr>
          <w:p w14:paraId="50A21407" w14:textId="56EBA8F0"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20-24</w:t>
            </w:r>
          </w:p>
        </w:tc>
      </w:tr>
      <w:tr w:rsidR="00FD3D78" w:rsidRPr="00DD767E" w14:paraId="65B87F89" w14:textId="77777777" w:rsidTr="00FD3D78">
        <w:tc>
          <w:tcPr>
            <w:tcW w:w="2185" w:type="dxa"/>
            <w:vMerge/>
          </w:tcPr>
          <w:p w14:paraId="633224B2"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p>
        </w:tc>
        <w:tc>
          <w:tcPr>
            <w:tcW w:w="5201" w:type="dxa"/>
          </w:tcPr>
          <w:p w14:paraId="15B6A11A" w14:textId="29BCD189"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Protection Principles 1 and 3</w:t>
            </w:r>
          </w:p>
        </w:tc>
        <w:tc>
          <w:tcPr>
            <w:tcW w:w="1664" w:type="dxa"/>
          </w:tcPr>
          <w:p w14:paraId="1A4F0D28" w14:textId="4BBF4B9C"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33 ; 38</w:t>
            </w:r>
          </w:p>
        </w:tc>
      </w:tr>
      <w:tr w:rsidR="00FD3D78" w:rsidRPr="00DD767E" w14:paraId="085ADC4F" w14:textId="77777777" w:rsidTr="00FD3D78">
        <w:tc>
          <w:tcPr>
            <w:tcW w:w="2185" w:type="dxa"/>
            <w:vMerge/>
          </w:tcPr>
          <w:p w14:paraId="720199F6"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p>
        </w:tc>
        <w:tc>
          <w:tcPr>
            <w:tcW w:w="5201" w:type="dxa"/>
          </w:tcPr>
          <w:p w14:paraId="427C617C" w14:textId="04C48D85"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 xml:space="preserve">Control of Communicable Diseases Standard 1: Communicable Disease Prevention </w:t>
            </w:r>
          </w:p>
        </w:tc>
        <w:tc>
          <w:tcPr>
            <w:tcW w:w="1664" w:type="dxa"/>
          </w:tcPr>
          <w:p w14:paraId="38B4BA46" w14:textId="0375E5BC"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312</w:t>
            </w:r>
          </w:p>
        </w:tc>
      </w:tr>
      <w:tr w:rsidR="00FD3D78" w:rsidRPr="00DD767E" w14:paraId="4ED5F831" w14:textId="77777777" w:rsidTr="00FD3D78">
        <w:tc>
          <w:tcPr>
            <w:tcW w:w="2185" w:type="dxa"/>
            <w:vMerge/>
          </w:tcPr>
          <w:p w14:paraId="20C2841D"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p>
        </w:tc>
        <w:tc>
          <w:tcPr>
            <w:tcW w:w="5201" w:type="dxa"/>
          </w:tcPr>
          <w:p w14:paraId="615315F7" w14:textId="5CFB1C89"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Hygiene promotion standard 1: Hygiene Promotion Implementation</w:t>
            </w:r>
          </w:p>
        </w:tc>
        <w:tc>
          <w:tcPr>
            <w:tcW w:w="1664" w:type="dxa"/>
          </w:tcPr>
          <w:p w14:paraId="4B7E7EDE" w14:textId="2882994D"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91</w:t>
            </w:r>
          </w:p>
        </w:tc>
      </w:tr>
      <w:tr w:rsidR="00FD3D78" w:rsidRPr="00DD767E" w14:paraId="613F7142" w14:textId="77777777" w:rsidTr="00FD3D78">
        <w:tc>
          <w:tcPr>
            <w:tcW w:w="2185" w:type="dxa"/>
            <w:vMerge/>
          </w:tcPr>
          <w:p w14:paraId="019F5F13"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p>
        </w:tc>
        <w:tc>
          <w:tcPr>
            <w:tcW w:w="5201" w:type="dxa"/>
          </w:tcPr>
          <w:p w14:paraId="353FD72B" w14:textId="271BF287" w:rsidR="00FD3D78" w:rsidRPr="002F74D7" w:rsidRDefault="00FD3D78" w:rsidP="00FD3D78">
            <w:pPr>
              <w:rPr>
                <w:rFonts w:asciiTheme="majorHAnsi" w:hAnsiTheme="majorHAnsi"/>
              </w:rPr>
            </w:pPr>
            <w:r w:rsidRPr="002F74D7">
              <w:rPr>
                <w:rFonts w:asciiTheme="majorHAnsi" w:hAnsiTheme="majorHAnsi"/>
              </w:rPr>
              <w:t>Sphere excreta disposal standard 2 on appropriate and adequate toilet facilities.</w:t>
            </w:r>
          </w:p>
          <w:p w14:paraId="5A0F0543" w14:textId="1203842F"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p>
        </w:tc>
        <w:tc>
          <w:tcPr>
            <w:tcW w:w="1664" w:type="dxa"/>
          </w:tcPr>
          <w:p w14:paraId="0D49BF60" w14:textId="6D2E6F4D"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107</w:t>
            </w:r>
          </w:p>
        </w:tc>
      </w:tr>
      <w:tr w:rsidR="00FD3D78" w:rsidRPr="00DD767E" w14:paraId="4C452B6E" w14:textId="77777777" w:rsidTr="00FD3D78">
        <w:tc>
          <w:tcPr>
            <w:tcW w:w="2185" w:type="dxa"/>
            <w:vMerge/>
          </w:tcPr>
          <w:p w14:paraId="59E8D155"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p>
        </w:tc>
        <w:tc>
          <w:tcPr>
            <w:tcW w:w="5201" w:type="dxa"/>
          </w:tcPr>
          <w:p w14:paraId="53B39A58" w14:textId="2970BF48"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Food Transfers Standard 1: General Nutrition Requirements</w:t>
            </w:r>
          </w:p>
        </w:tc>
        <w:tc>
          <w:tcPr>
            <w:tcW w:w="1664" w:type="dxa"/>
          </w:tcPr>
          <w:p w14:paraId="0B5EBB54" w14:textId="6566EC9E"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180</w:t>
            </w:r>
          </w:p>
        </w:tc>
      </w:tr>
      <w:tr w:rsidR="00FD3D78" w:rsidRPr="00DD767E" w14:paraId="7DCDC246" w14:textId="77777777" w:rsidTr="00FD3D78">
        <w:tc>
          <w:tcPr>
            <w:tcW w:w="2185" w:type="dxa"/>
            <w:shd w:val="clear" w:color="auto" w:fill="A6A6A6" w:themeFill="background1" w:themeFillShade="A6"/>
          </w:tcPr>
          <w:p w14:paraId="149FF15B"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b/>
              </w:rPr>
            </w:pPr>
          </w:p>
        </w:tc>
        <w:tc>
          <w:tcPr>
            <w:tcW w:w="5201" w:type="dxa"/>
            <w:shd w:val="clear" w:color="auto" w:fill="A6A6A6" w:themeFill="background1" w:themeFillShade="A6"/>
          </w:tcPr>
          <w:p w14:paraId="56FAF418"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b/>
              </w:rPr>
            </w:pPr>
            <w:r w:rsidRPr="002F74D7">
              <w:rPr>
                <w:rFonts w:asciiTheme="majorHAnsi" w:hAnsiTheme="majorHAnsi"/>
                <w:b/>
              </w:rPr>
              <w:t>Related Elements of the Companion  handbook INEE</w:t>
            </w:r>
          </w:p>
        </w:tc>
        <w:tc>
          <w:tcPr>
            <w:tcW w:w="1664" w:type="dxa"/>
            <w:shd w:val="clear" w:color="auto" w:fill="A6A6A6" w:themeFill="background1" w:themeFillShade="A6"/>
          </w:tcPr>
          <w:p w14:paraId="747313DC" w14:textId="77777777"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b/>
              </w:rPr>
            </w:pPr>
            <w:r w:rsidRPr="002F74D7">
              <w:rPr>
                <w:rFonts w:asciiTheme="majorHAnsi" w:hAnsiTheme="majorHAnsi"/>
                <w:b/>
              </w:rPr>
              <w:t>INEE  pages</w:t>
            </w:r>
          </w:p>
        </w:tc>
      </w:tr>
      <w:tr w:rsidR="00FD3D78" w:rsidRPr="00DD767E" w14:paraId="1B287D0F" w14:textId="77777777" w:rsidTr="00FD3D78">
        <w:tc>
          <w:tcPr>
            <w:tcW w:w="2185" w:type="dxa"/>
            <w:vMerge w:val="restart"/>
          </w:tcPr>
          <w:p w14:paraId="59A2F23C" w14:textId="77777777" w:rsidR="00FD3D78" w:rsidRPr="002F74D7" w:rsidRDefault="00FD3D78" w:rsidP="00FD3D78">
            <w:pPr>
              <w:widowControl w:val="0"/>
              <w:kinsoku w:val="0"/>
              <w:overflowPunct w:val="0"/>
              <w:autoSpaceDE w:val="0"/>
              <w:adjustRightInd w:val="0"/>
              <w:spacing w:before="80" w:after="80" w:line="259" w:lineRule="auto"/>
              <w:ind w:right="113"/>
              <w:jc w:val="center"/>
              <w:rPr>
                <w:rFonts w:asciiTheme="majorHAnsi" w:hAnsiTheme="majorHAnsi"/>
              </w:rPr>
            </w:pPr>
            <w:r w:rsidRPr="002F74D7">
              <w:rPr>
                <w:rFonts w:asciiTheme="majorHAnsi" w:hAnsiTheme="majorHAnsi"/>
                <w:noProof/>
                <w:lang w:eastAsia="en-GB"/>
              </w:rPr>
              <w:drawing>
                <wp:inline distT="0" distB="0" distL="0" distR="0" wp14:anchorId="09D22D6D" wp14:editId="099A3589">
                  <wp:extent cx="892173" cy="1260000"/>
                  <wp:effectExtent l="0" t="0" r="0" b="10160"/>
                  <wp:docPr id="13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3" cy="1260000"/>
                          </a:xfrm>
                          <a:prstGeom prst="rect">
                            <a:avLst/>
                          </a:prstGeom>
                          <a:noFill/>
                          <a:ln>
                            <a:noFill/>
                          </a:ln>
                        </pic:spPr>
                      </pic:pic>
                    </a:graphicData>
                  </a:graphic>
                </wp:inline>
              </w:drawing>
            </w:r>
          </w:p>
        </w:tc>
        <w:tc>
          <w:tcPr>
            <w:tcW w:w="5201" w:type="dxa"/>
          </w:tcPr>
          <w:p w14:paraId="5B33DCE9" w14:textId="24EC13E3"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Teaching and Learning Standard 1: Curricula</w:t>
            </w:r>
          </w:p>
        </w:tc>
        <w:tc>
          <w:tcPr>
            <w:tcW w:w="1664" w:type="dxa"/>
          </w:tcPr>
          <w:p w14:paraId="6FAEACCF" w14:textId="0FC3B02D" w:rsidR="00FD3D78" w:rsidRPr="002F74D7" w:rsidRDefault="00FD3D78" w:rsidP="00FD3D78">
            <w:pPr>
              <w:widowControl w:val="0"/>
              <w:kinsoku w:val="0"/>
              <w:overflowPunct w:val="0"/>
              <w:autoSpaceDE w:val="0"/>
              <w:adjustRightInd w:val="0"/>
              <w:spacing w:before="0" w:line="260" w:lineRule="auto"/>
              <w:ind w:right="114"/>
              <w:rPr>
                <w:rFonts w:asciiTheme="majorHAnsi" w:hAnsiTheme="majorHAnsi"/>
              </w:rPr>
            </w:pPr>
            <w:r w:rsidRPr="002F74D7">
              <w:rPr>
                <w:rFonts w:asciiTheme="majorHAnsi" w:hAnsiTheme="majorHAnsi"/>
              </w:rPr>
              <w:t>77</w:t>
            </w:r>
          </w:p>
        </w:tc>
      </w:tr>
      <w:tr w:rsidR="00FD3D78" w:rsidRPr="00DD767E" w14:paraId="23B1E997" w14:textId="77777777" w:rsidTr="00FD3D78">
        <w:tc>
          <w:tcPr>
            <w:tcW w:w="2185" w:type="dxa"/>
            <w:vMerge/>
          </w:tcPr>
          <w:p w14:paraId="7B5265AA" w14:textId="77777777" w:rsidR="00FD3D78" w:rsidRPr="002F74D7" w:rsidRDefault="00FD3D78" w:rsidP="00FD3D78">
            <w:pPr>
              <w:widowControl w:val="0"/>
              <w:kinsoku w:val="0"/>
              <w:overflowPunct w:val="0"/>
              <w:autoSpaceDE w:val="0"/>
              <w:adjustRightInd w:val="0"/>
              <w:spacing w:before="0" w:line="260" w:lineRule="auto"/>
              <w:ind w:right="114"/>
              <w:rPr>
                <w:rFonts w:asciiTheme="majorHAnsi" w:hAnsiTheme="majorHAnsi"/>
              </w:rPr>
            </w:pPr>
          </w:p>
        </w:tc>
        <w:tc>
          <w:tcPr>
            <w:tcW w:w="5201" w:type="dxa"/>
          </w:tcPr>
          <w:p w14:paraId="231313F6" w14:textId="614A777A"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Access and Learning Environment Standard 3: Facilities and Services (Guidance Note 5 &amp; 6)</w:t>
            </w:r>
          </w:p>
        </w:tc>
        <w:tc>
          <w:tcPr>
            <w:tcW w:w="1664" w:type="dxa"/>
          </w:tcPr>
          <w:p w14:paraId="2DF178BE" w14:textId="00D667F4" w:rsidR="00FD3D78" w:rsidRPr="002F74D7" w:rsidRDefault="00FD3D78" w:rsidP="00FD3D78">
            <w:pPr>
              <w:widowControl w:val="0"/>
              <w:kinsoku w:val="0"/>
              <w:overflowPunct w:val="0"/>
              <w:autoSpaceDE w:val="0"/>
              <w:adjustRightInd w:val="0"/>
              <w:spacing w:before="0" w:line="260" w:lineRule="auto"/>
              <w:ind w:right="114"/>
              <w:rPr>
                <w:rFonts w:asciiTheme="majorHAnsi" w:hAnsiTheme="majorHAnsi"/>
              </w:rPr>
            </w:pPr>
            <w:r w:rsidRPr="002F74D7">
              <w:rPr>
                <w:rFonts w:asciiTheme="majorHAnsi" w:hAnsiTheme="majorHAnsi"/>
              </w:rPr>
              <w:t>68</w:t>
            </w:r>
          </w:p>
        </w:tc>
      </w:tr>
      <w:tr w:rsidR="00FD3D78" w:rsidRPr="00DD767E" w14:paraId="6B85AAEC" w14:textId="77777777" w:rsidTr="00FD3D78">
        <w:tc>
          <w:tcPr>
            <w:tcW w:w="2185" w:type="dxa"/>
            <w:vMerge/>
          </w:tcPr>
          <w:p w14:paraId="7B5B1427" w14:textId="77777777" w:rsidR="00FD3D78" w:rsidRPr="002F74D7" w:rsidRDefault="00FD3D78" w:rsidP="00FD3D78">
            <w:pPr>
              <w:widowControl w:val="0"/>
              <w:kinsoku w:val="0"/>
              <w:overflowPunct w:val="0"/>
              <w:autoSpaceDE w:val="0"/>
              <w:adjustRightInd w:val="0"/>
              <w:spacing w:before="0" w:line="260" w:lineRule="auto"/>
              <w:ind w:right="114"/>
              <w:rPr>
                <w:rFonts w:asciiTheme="majorHAnsi" w:hAnsiTheme="majorHAnsi"/>
              </w:rPr>
            </w:pPr>
          </w:p>
        </w:tc>
        <w:tc>
          <w:tcPr>
            <w:tcW w:w="5201" w:type="dxa"/>
          </w:tcPr>
          <w:p w14:paraId="70211540" w14:textId="3C5EACF2"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Access and Learning Environment Standard 3: Facilities and Services (Guidance Note 7)</w:t>
            </w:r>
          </w:p>
        </w:tc>
        <w:tc>
          <w:tcPr>
            <w:tcW w:w="1664" w:type="dxa"/>
          </w:tcPr>
          <w:p w14:paraId="40392678" w14:textId="171D8753" w:rsidR="00FD3D78" w:rsidRPr="002F74D7" w:rsidRDefault="00FD3D78" w:rsidP="00FD3D78">
            <w:pPr>
              <w:widowControl w:val="0"/>
              <w:kinsoku w:val="0"/>
              <w:overflowPunct w:val="0"/>
              <w:autoSpaceDE w:val="0"/>
              <w:adjustRightInd w:val="0"/>
              <w:spacing w:before="0" w:line="260" w:lineRule="auto"/>
              <w:ind w:right="114"/>
              <w:rPr>
                <w:rFonts w:asciiTheme="majorHAnsi" w:hAnsiTheme="majorHAnsi"/>
              </w:rPr>
            </w:pPr>
            <w:r w:rsidRPr="002F74D7">
              <w:rPr>
                <w:rFonts w:asciiTheme="majorHAnsi" w:hAnsiTheme="majorHAnsi"/>
              </w:rPr>
              <w:t>68</w:t>
            </w:r>
          </w:p>
        </w:tc>
      </w:tr>
      <w:tr w:rsidR="00FD3D78" w:rsidRPr="00DD767E" w14:paraId="2DF17101" w14:textId="77777777" w:rsidTr="00FD3D78">
        <w:tc>
          <w:tcPr>
            <w:tcW w:w="2185" w:type="dxa"/>
            <w:vMerge/>
          </w:tcPr>
          <w:p w14:paraId="01FB1E11" w14:textId="77777777" w:rsidR="00FD3D78" w:rsidRPr="002F74D7" w:rsidRDefault="00FD3D78" w:rsidP="00FD3D78">
            <w:pPr>
              <w:widowControl w:val="0"/>
              <w:kinsoku w:val="0"/>
              <w:overflowPunct w:val="0"/>
              <w:autoSpaceDE w:val="0"/>
              <w:adjustRightInd w:val="0"/>
              <w:spacing w:before="0" w:line="260" w:lineRule="auto"/>
              <w:ind w:right="114"/>
              <w:rPr>
                <w:rFonts w:asciiTheme="majorHAnsi" w:hAnsiTheme="majorHAnsi"/>
              </w:rPr>
            </w:pPr>
          </w:p>
        </w:tc>
        <w:tc>
          <w:tcPr>
            <w:tcW w:w="5201" w:type="dxa"/>
          </w:tcPr>
          <w:p w14:paraId="19BD2F3F" w14:textId="62DD3E10" w:rsidR="00FD3D78" w:rsidRPr="002F74D7" w:rsidRDefault="00FD3D78" w:rsidP="00FD3D78">
            <w:pPr>
              <w:widowControl w:val="0"/>
              <w:kinsoku w:val="0"/>
              <w:overflowPunct w:val="0"/>
              <w:autoSpaceDE w:val="0"/>
              <w:adjustRightInd w:val="0"/>
              <w:spacing w:before="0" w:line="240" w:lineRule="auto"/>
              <w:ind w:left="51"/>
              <w:rPr>
                <w:rFonts w:asciiTheme="majorHAnsi" w:hAnsiTheme="majorHAnsi"/>
              </w:rPr>
            </w:pPr>
            <w:r w:rsidRPr="002F74D7">
              <w:rPr>
                <w:rFonts w:asciiTheme="majorHAnsi" w:hAnsiTheme="majorHAnsi"/>
              </w:rPr>
              <w:t>Access and Learning Environment Standard 2: Protection and Well-being</w:t>
            </w:r>
          </w:p>
        </w:tc>
        <w:tc>
          <w:tcPr>
            <w:tcW w:w="1664" w:type="dxa"/>
          </w:tcPr>
          <w:p w14:paraId="09CA38CB" w14:textId="5CA2CD84" w:rsidR="00FD3D78" w:rsidRPr="002F74D7" w:rsidRDefault="00FD3D78" w:rsidP="00FD3D78">
            <w:pPr>
              <w:widowControl w:val="0"/>
              <w:kinsoku w:val="0"/>
              <w:overflowPunct w:val="0"/>
              <w:autoSpaceDE w:val="0"/>
              <w:adjustRightInd w:val="0"/>
              <w:spacing w:before="0" w:line="260" w:lineRule="auto"/>
              <w:ind w:right="114"/>
              <w:rPr>
                <w:rFonts w:asciiTheme="majorHAnsi" w:hAnsiTheme="majorHAnsi"/>
              </w:rPr>
            </w:pPr>
            <w:r w:rsidRPr="002F74D7">
              <w:rPr>
                <w:rFonts w:asciiTheme="majorHAnsi" w:hAnsiTheme="majorHAnsi"/>
              </w:rPr>
              <w:t>61</w:t>
            </w:r>
          </w:p>
        </w:tc>
      </w:tr>
    </w:tbl>
    <w:p w14:paraId="420E5F69" w14:textId="77777777" w:rsidR="004A3FEE" w:rsidRPr="00DD767E" w:rsidRDefault="004A3FEE" w:rsidP="004A3FEE">
      <w:pPr>
        <w:widowControl w:val="0"/>
        <w:kinsoku w:val="0"/>
        <w:overflowPunct w:val="0"/>
        <w:autoSpaceDE w:val="0"/>
        <w:adjustRightInd w:val="0"/>
        <w:spacing w:before="61" w:line="240" w:lineRule="auto"/>
        <w:ind w:firstLine="107"/>
        <w:outlineLvl w:val="2"/>
        <w:rPr>
          <w:rFonts w:ascii="Arial" w:eastAsiaTheme="minorEastAsia" w:hAnsi="Arial" w:cs="Arial"/>
          <w:b/>
          <w:spacing w:val="-4"/>
          <w:w w:val="95"/>
          <w:sz w:val="28"/>
          <w:szCs w:val="28"/>
          <w:lang w:eastAsia="fr-FR"/>
        </w:rPr>
      </w:pPr>
    </w:p>
    <w:p w14:paraId="5B0A597C" w14:textId="77777777" w:rsidR="004A3FEE" w:rsidRPr="00DD767E" w:rsidRDefault="004A3FEE" w:rsidP="004A3FEE"/>
    <w:p w14:paraId="1C62577B" w14:textId="63C8D938" w:rsidR="004A3FEE" w:rsidRPr="00DD767E" w:rsidRDefault="000E6967" w:rsidP="00D66B83">
      <w:pPr>
        <w:pStyle w:val="Heading3"/>
      </w:pPr>
      <w:r>
        <w:lastRenderedPageBreak/>
        <w:t>I</w:t>
      </w:r>
      <w:r w:rsidR="004A3FEE" w:rsidRPr="00DD767E">
        <w:t>nformation for the debriefing</w:t>
      </w:r>
      <w:r w:rsidR="000129E6">
        <w:t xml:space="preserve"> (</w:t>
      </w:r>
      <w:r w:rsidR="0027121F" w:rsidRPr="000573D7">
        <w:rPr>
          <w:sz w:val="22"/>
          <w:szCs w:val="22"/>
        </w:rPr>
        <w:t>N</w:t>
      </w:r>
      <w:r w:rsidRPr="000573D7">
        <w:rPr>
          <w:sz w:val="22"/>
          <w:szCs w:val="22"/>
        </w:rPr>
        <w:t xml:space="preserve">otes for the facilitator. Can also </w:t>
      </w:r>
      <w:r w:rsidR="000129E6" w:rsidRPr="000573D7">
        <w:rPr>
          <w:sz w:val="22"/>
          <w:szCs w:val="22"/>
        </w:rPr>
        <w:t xml:space="preserve">be distributed </w:t>
      </w:r>
      <w:r w:rsidR="0027121F" w:rsidRPr="000573D7">
        <w:rPr>
          <w:sz w:val="22"/>
          <w:szCs w:val="22"/>
        </w:rPr>
        <w:t>to the group</w:t>
      </w:r>
      <w:r w:rsidR="00D66B83" w:rsidRPr="000573D7">
        <w:rPr>
          <w:sz w:val="22"/>
          <w:szCs w:val="22"/>
        </w:rPr>
        <w:t>s at the end of the exercise</w:t>
      </w:r>
      <w:r w:rsidRPr="000573D7">
        <w:rPr>
          <w:sz w:val="22"/>
          <w:szCs w:val="22"/>
        </w:rPr>
        <w:t>)</w:t>
      </w:r>
    </w:p>
    <w:p w14:paraId="5BA35A69" w14:textId="77777777" w:rsidR="00FD3D78" w:rsidRPr="00DD767E" w:rsidRDefault="00FD3D78" w:rsidP="00FD3D78">
      <w:pPr>
        <w:pStyle w:val="Heading5"/>
      </w:pPr>
      <w:r>
        <w:t>Key is</w:t>
      </w:r>
      <w:r w:rsidRPr="00DD767E">
        <w:t>sues a</w:t>
      </w:r>
      <w:r>
        <w:t>nd outcomes</w:t>
      </w:r>
    </w:p>
    <w:p w14:paraId="51640640" w14:textId="77777777" w:rsidR="00FD3D78" w:rsidRPr="00572DE4" w:rsidRDefault="00FD3D78" w:rsidP="00FD3D78">
      <w:pPr>
        <w:rPr>
          <w:rFonts w:asciiTheme="majorBidi" w:hAnsiTheme="majorBidi" w:cstheme="majorBidi"/>
        </w:rPr>
      </w:pPr>
      <w:r w:rsidRPr="00572DE4">
        <w:rPr>
          <w:rFonts w:asciiTheme="majorBidi" w:hAnsiTheme="majorBidi" w:cstheme="majorBidi"/>
        </w:rPr>
        <w:t>Solutions to the issues presented in the case study can be found by using the Sphere and INEE Handbook in a complementary manner.</w:t>
      </w:r>
    </w:p>
    <w:p w14:paraId="03D6C5CB" w14:textId="77777777" w:rsidR="00FD3D78" w:rsidRPr="00572DE4" w:rsidRDefault="00FD3D78" w:rsidP="00FD3D78">
      <w:pPr>
        <w:rPr>
          <w:rFonts w:asciiTheme="majorBidi" w:hAnsiTheme="majorBidi" w:cstheme="majorBidi"/>
        </w:rPr>
      </w:pPr>
      <w:r w:rsidRPr="00572DE4">
        <w:rPr>
          <w:rFonts w:asciiTheme="majorBidi" w:hAnsiTheme="majorBidi" w:cstheme="majorBidi"/>
        </w:rPr>
        <w:t xml:space="preserve">Children in school could receive educational training on proper hygiene and how to prevent communicable diseases, through the development of curricula which are appropriate to the particular context and needs of learners. Such an educational program may reduce risk of disease and death in the community. </w:t>
      </w:r>
    </w:p>
    <w:p w14:paraId="709BD328" w14:textId="77777777" w:rsidR="00FD3D78" w:rsidRPr="00572DE4" w:rsidRDefault="00FD3D78" w:rsidP="00FD3D78">
      <w:pPr>
        <w:rPr>
          <w:rFonts w:asciiTheme="majorBidi" w:hAnsiTheme="majorBidi" w:cstheme="majorBidi"/>
        </w:rPr>
      </w:pPr>
      <w:r w:rsidRPr="00572DE4">
        <w:rPr>
          <w:rFonts w:asciiTheme="majorBidi" w:hAnsiTheme="majorBidi" w:cstheme="majorBidi"/>
        </w:rPr>
        <w:t xml:space="preserve">The school infrastructure could be improved by providing adequate and appropriate latrine and hygiene stations, segregated by gender. Sanitation facilities could also be made available within or close to the learning environment, and should maintain privacy in line with the norms of the society of </w:t>
      </w:r>
      <w:proofErr w:type="spellStart"/>
      <w:r w:rsidRPr="00572DE4">
        <w:rPr>
          <w:rFonts w:asciiTheme="majorBidi" w:hAnsiTheme="majorBidi" w:cstheme="majorBidi"/>
        </w:rPr>
        <w:t>Buca</w:t>
      </w:r>
      <w:proofErr w:type="spellEnd"/>
      <w:r w:rsidRPr="00572DE4">
        <w:rPr>
          <w:rFonts w:asciiTheme="majorBidi" w:hAnsiTheme="majorBidi" w:cstheme="majorBidi"/>
        </w:rPr>
        <w:t xml:space="preserve">, dignity, and safety. In addition, sanitary materials and culturally appropriate clothing, if necessary, should be provided to female learners so that they can participate fully in learning. Children should be involved in the design of the facilities and the progress should be regularly monitored to ensure that the response is adequate.  </w:t>
      </w:r>
    </w:p>
    <w:p w14:paraId="251F4C41" w14:textId="77777777" w:rsidR="00FD3D78" w:rsidRPr="00572DE4" w:rsidRDefault="00FD3D78" w:rsidP="00FD3D78">
      <w:pPr>
        <w:rPr>
          <w:rFonts w:asciiTheme="majorBidi" w:hAnsiTheme="majorBidi" w:cstheme="majorBidi"/>
        </w:rPr>
      </w:pPr>
      <w:r w:rsidRPr="00572DE4">
        <w:rPr>
          <w:rFonts w:asciiTheme="majorBidi" w:hAnsiTheme="majorBidi" w:cstheme="majorBidi"/>
        </w:rPr>
        <w:t xml:space="preserve">Students could also be given a supplemental wet food ration at school to close the gap between existing food capacity and their nutritional needs of the children. </w:t>
      </w:r>
    </w:p>
    <w:p w14:paraId="3FE1EC88" w14:textId="77777777" w:rsidR="00FD3D78" w:rsidRPr="00572DE4" w:rsidRDefault="00FD3D78" w:rsidP="00FD3D78">
      <w:pPr>
        <w:rPr>
          <w:rFonts w:asciiTheme="majorBidi" w:hAnsiTheme="majorBidi" w:cstheme="majorBidi"/>
        </w:rPr>
      </w:pPr>
      <w:r w:rsidRPr="00572DE4">
        <w:rPr>
          <w:rFonts w:asciiTheme="majorBidi" w:hAnsiTheme="majorBidi" w:cstheme="majorBidi"/>
        </w:rPr>
        <w:t xml:space="preserve">Finally, to protect the children from forced recruitment, the community could be mobilized to provide escorts and the safety and self-protection messages could be included in the curriculum to reduce these risks. </w:t>
      </w:r>
    </w:p>
    <w:p w14:paraId="36E85DB2" w14:textId="77777777" w:rsidR="00FD3D78" w:rsidRDefault="00FD3D78" w:rsidP="00FD3D78">
      <w:pPr>
        <w:pStyle w:val="Heading5"/>
      </w:pPr>
    </w:p>
    <w:p w14:paraId="46699339" w14:textId="77777777" w:rsidR="00FD3D78" w:rsidRPr="00FD3D78" w:rsidRDefault="00FD3D78" w:rsidP="00FD3D78">
      <w:pPr>
        <w:pStyle w:val="Heading5"/>
      </w:pPr>
      <w:r w:rsidRPr="00FD3D78">
        <w:t>Lessons learned</w:t>
      </w:r>
    </w:p>
    <w:p w14:paraId="5B41C075" w14:textId="77777777" w:rsidR="00FD3D78" w:rsidRPr="00572DE4" w:rsidRDefault="00FD3D78" w:rsidP="00FD3D78">
      <w:pPr>
        <w:rPr>
          <w:rFonts w:asciiTheme="majorBidi" w:hAnsiTheme="majorBidi" w:cstheme="majorBidi"/>
        </w:rPr>
      </w:pPr>
      <w:r w:rsidRPr="00572DE4">
        <w:rPr>
          <w:rFonts w:asciiTheme="majorBidi" w:hAnsiTheme="majorBidi" w:cstheme="majorBidi"/>
        </w:rPr>
        <w:t xml:space="preserve">The Sphere Standards are strengthened when implemented in conjunction with the INEE Minimum Standards. </w:t>
      </w:r>
    </w:p>
    <w:p w14:paraId="688281FA" w14:textId="77777777" w:rsidR="00FD3D78" w:rsidRPr="00572DE4" w:rsidRDefault="00FD3D78" w:rsidP="00FD3D78">
      <w:pPr>
        <w:rPr>
          <w:rFonts w:asciiTheme="majorBidi" w:hAnsiTheme="majorBidi" w:cstheme="majorBidi"/>
        </w:rPr>
      </w:pPr>
      <w:r w:rsidRPr="00572DE4">
        <w:rPr>
          <w:rFonts w:asciiTheme="majorBidi" w:hAnsiTheme="majorBidi" w:cstheme="majorBidi"/>
        </w:rPr>
        <w:t xml:space="preserve">In the given health example, by instructing children in school on proper hygiene and how to best prevent communicable diseases, INEE </w:t>
      </w:r>
      <w:r w:rsidRPr="00572DE4">
        <w:rPr>
          <w:rFonts w:asciiTheme="majorBidi" w:hAnsiTheme="majorBidi" w:cstheme="majorBidi"/>
          <w:i/>
        </w:rPr>
        <w:t>MS Teaching and Learning Standard 1</w:t>
      </w:r>
      <w:r w:rsidRPr="00572DE4">
        <w:rPr>
          <w:rFonts w:asciiTheme="majorBidi" w:hAnsiTheme="majorBidi" w:cstheme="majorBidi"/>
        </w:rPr>
        <w:t xml:space="preserve"> is met, as well as Sphere </w:t>
      </w:r>
      <w:r w:rsidRPr="00572DE4">
        <w:rPr>
          <w:rFonts w:asciiTheme="majorBidi" w:hAnsiTheme="majorBidi" w:cstheme="majorBidi"/>
          <w:i/>
        </w:rPr>
        <w:t xml:space="preserve">Control of Communicable Diseases Standard 1: Communicable Disease Prevention and </w:t>
      </w:r>
      <w:r w:rsidRPr="00572DE4">
        <w:rPr>
          <w:rFonts w:asciiTheme="majorBidi" w:hAnsiTheme="majorBidi" w:cstheme="majorBidi"/>
        </w:rPr>
        <w:t xml:space="preserve">Sphere </w:t>
      </w:r>
      <w:r w:rsidRPr="00572DE4">
        <w:rPr>
          <w:rFonts w:asciiTheme="majorBidi" w:hAnsiTheme="majorBidi" w:cstheme="majorBidi"/>
          <w:i/>
        </w:rPr>
        <w:t>Hygiene promotion standard 1: Hygiene Promotion Implementation</w:t>
      </w:r>
    </w:p>
    <w:p w14:paraId="1C744D63" w14:textId="77777777" w:rsidR="00FD3D78" w:rsidRPr="00572DE4" w:rsidRDefault="00FD3D78" w:rsidP="00FD3D78">
      <w:pPr>
        <w:rPr>
          <w:rFonts w:asciiTheme="majorBidi" w:hAnsiTheme="majorBidi" w:cstheme="majorBidi"/>
          <w:i/>
        </w:rPr>
      </w:pPr>
      <w:r w:rsidRPr="00572DE4">
        <w:rPr>
          <w:rFonts w:asciiTheme="majorBidi" w:hAnsiTheme="majorBidi" w:cstheme="majorBidi"/>
        </w:rPr>
        <w:t xml:space="preserve">The WASH example demonstrates how achieving the INEE MS </w:t>
      </w:r>
      <w:r w:rsidRPr="00572DE4">
        <w:rPr>
          <w:rFonts w:asciiTheme="majorBidi" w:hAnsiTheme="majorBidi" w:cstheme="majorBidi"/>
          <w:i/>
        </w:rPr>
        <w:t xml:space="preserve">Access and Learning Environment Standard 3: Facilities and Services (Guidance Note 5 &amp; 6) </w:t>
      </w:r>
      <w:r w:rsidRPr="00572DE4">
        <w:rPr>
          <w:rFonts w:asciiTheme="majorBidi" w:hAnsiTheme="majorBidi" w:cstheme="majorBidi"/>
        </w:rPr>
        <w:t xml:space="preserve">in improving sanitation infrastructure at the school also helps achieve the right to life with dignity of people affected as promoted in the Sphere Humanitarian Charter, Sphere Protection principle 1: Avoid exposing people to further harm as a result of your actions and Sphere excreta disposal standard 2 on appropriate and adequate toilet facilities </w:t>
      </w:r>
      <w:r w:rsidRPr="00572DE4">
        <w:rPr>
          <w:rFonts w:asciiTheme="majorBidi" w:hAnsiTheme="majorBidi" w:cstheme="majorBidi"/>
          <w:i/>
        </w:rPr>
        <w:t>.</w:t>
      </w:r>
    </w:p>
    <w:p w14:paraId="326171EE" w14:textId="77777777" w:rsidR="00FD3D78" w:rsidRPr="00572DE4" w:rsidRDefault="00FD3D78" w:rsidP="00FD3D78">
      <w:pPr>
        <w:rPr>
          <w:rFonts w:asciiTheme="majorBidi" w:hAnsiTheme="majorBidi" w:cstheme="majorBidi"/>
          <w:i/>
        </w:rPr>
      </w:pPr>
      <w:r w:rsidRPr="00572DE4">
        <w:rPr>
          <w:rFonts w:asciiTheme="majorBidi" w:hAnsiTheme="majorBidi" w:cstheme="majorBidi"/>
        </w:rPr>
        <w:t xml:space="preserve">In addition, the food security example shows how implementing school-based health and nutrition services (INEE MS </w:t>
      </w:r>
      <w:r w:rsidRPr="00572DE4">
        <w:rPr>
          <w:rFonts w:asciiTheme="majorBidi" w:hAnsiTheme="majorBidi" w:cstheme="majorBidi"/>
          <w:i/>
        </w:rPr>
        <w:t>Access and Learning Environment Standard 3: Facilities and Services Guidance Note 7)</w:t>
      </w:r>
      <w:r w:rsidRPr="00572DE4">
        <w:rPr>
          <w:rFonts w:asciiTheme="majorBidi" w:hAnsiTheme="majorBidi" w:cstheme="majorBidi"/>
        </w:rPr>
        <w:t xml:space="preserve"> also helps achieve Sphere </w:t>
      </w:r>
      <w:r w:rsidRPr="00572DE4">
        <w:rPr>
          <w:rFonts w:asciiTheme="majorBidi" w:hAnsiTheme="majorBidi" w:cstheme="majorBidi"/>
          <w:i/>
        </w:rPr>
        <w:t>Food Transfers Standard 1: General Nutrition Requirements.</w:t>
      </w:r>
    </w:p>
    <w:p w14:paraId="7B6D5D98" w14:textId="77777777" w:rsidR="00FD3D78" w:rsidRPr="00572DE4" w:rsidRDefault="00FD3D78" w:rsidP="00FD3D78">
      <w:pPr>
        <w:rPr>
          <w:rFonts w:asciiTheme="majorBidi" w:hAnsiTheme="majorBidi" w:cstheme="majorBidi"/>
          <w:iCs/>
        </w:rPr>
      </w:pPr>
      <w:r w:rsidRPr="00572DE4">
        <w:rPr>
          <w:rFonts w:asciiTheme="majorBidi" w:hAnsiTheme="majorBidi" w:cstheme="majorBidi"/>
          <w:iCs/>
        </w:rPr>
        <w:t>Finally, Sphere Protection Principle 3: Protect people from physical and psychological harm arising from violence and coercion is being achieved for the children of the school through the use of INEE Access and Learning Environment Standard 2: Protection and well-being.</w:t>
      </w:r>
    </w:p>
    <w:sectPr w:rsidR="00FD3D78" w:rsidRPr="00572DE4" w:rsidSect="004A3FEE">
      <w:footerReference w:type="default" r:id="rId9"/>
      <w:pgSz w:w="11901" w:h="16840"/>
      <w:pgMar w:top="1418" w:right="1247" w:bottom="851" w:left="1247"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FD2D73" w:rsidRDefault="00FD2D73" w:rsidP="002848CC">
      <w:pPr>
        <w:spacing w:before="0"/>
      </w:pPr>
      <w:r>
        <w:separator/>
      </w:r>
    </w:p>
  </w:endnote>
  <w:endnote w:type="continuationSeparator" w:id="0">
    <w:p w14:paraId="55D920D5" w14:textId="77777777" w:rsidR="00FD2D73" w:rsidRDefault="00FD2D7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2C347" w14:textId="77777777" w:rsidR="00FD2D73" w:rsidRPr="00A64258" w:rsidRDefault="00FD2D73" w:rsidP="00A64258">
    <w:pPr>
      <w:pStyle w:val="Footer"/>
    </w:pPr>
    <w:r w:rsidRPr="0052155F">
      <w:t>Module C5 – Sphere and its four companions</w:t>
    </w:r>
    <w:r>
      <w:tab/>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37A5B1A7" w:rsidR="00FD2D73" w:rsidRDefault="00FD2D73" w:rsidP="002848CC">
      <w:pPr>
        <w:spacing w:before="0"/>
      </w:pPr>
      <w:r>
        <w:separator/>
      </w:r>
    </w:p>
  </w:footnote>
  <w:footnote w:type="continuationSeparator" w:id="0">
    <w:p w14:paraId="3A0C8118" w14:textId="77777777" w:rsidR="00FD2D73" w:rsidRDefault="00FD2D73" w:rsidP="002848CC">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051185"/>
    <w:multiLevelType w:val="multilevel"/>
    <w:tmpl w:val="8140EEFE"/>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3DDC638F"/>
    <w:multiLevelType w:val="hybridMultilevel"/>
    <w:tmpl w:val="708AF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4"/>
  </w:num>
  <w:num w:numId="9">
    <w:abstractNumId w:val="7"/>
  </w:num>
  <w:num w:numId="10">
    <w:abstractNumId w:val="12"/>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3"/>
  </w:num>
  <w:num w:numId="19">
    <w:abstractNumId w:val="2"/>
  </w:num>
  <w:num w:numId="20">
    <w:abstractNumId w:val="0"/>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129E6"/>
    <w:rsid w:val="0003234B"/>
    <w:rsid w:val="00051DCA"/>
    <w:rsid w:val="0005284F"/>
    <w:rsid w:val="000573D7"/>
    <w:rsid w:val="000765B7"/>
    <w:rsid w:val="000C131D"/>
    <w:rsid w:val="000C586D"/>
    <w:rsid w:val="000E6967"/>
    <w:rsid w:val="000F292B"/>
    <w:rsid w:val="00130720"/>
    <w:rsid w:val="0013229F"/>
    <w:rsid w:val="00144112"/>
    <w:rsid w:val="0015588F"/>
    <w:rsid w:val="00164B4E"/>
    <w:rsid w:val="0016592C"/>
    <w:rsid w:val="001713BA"/>
    <w:rsid w:val="001737A1"/>
    <w:rsid w:val="001740C0"/>
    <w:rsid w:val="00175CA3"/>
    <w:rsid w:val="001869EC"/>
    <w:rsid w:val="001A32AC"/>
    <w:rsid w:val="001C7F2F"/>
    <w:rsid w:val="001D0724"/>
    <w:rsid w:val="001D18EA"/>
    <w:rsid w:val="001D7A65"/>
    <w:rsid w:val="001E1BE3"/>
    <w:rsid w:val="001E28FE"/>
    <w:rsid w:val="001F30AE"/>
    <w:rsid w:val="001F455D"/>
    <w:rsid w:val="001F7F75"/>
    <w:rsid w:val="00200D4D"/>
    <w:rsid w:val="00205074"/>
    <w:rsid w:val="00212D1A"/>
    <w:rsid w:val="002201FF"/>
    <w:rsid w:val="002335B0"/>
    <w:rsid w:val="00235E88"/>
    <w:rsid w:val="00237D09"/>
    <w:rsid w:val="00241992"/>
    <w:rsid w:val="00267AF2"/>
    <w:rsid w:val="0027121F"/>
    <w:rsid w:val="00274BC6"/>
    <w:rsid w:val="002848CC"/>
    <w:rsid w:val="002848DA"/>
    <w:rsid w:val="002933E5"/>
    <w:rsid w:val="002958E2"/>
    <w:rsid w:val="002A0A16"/>
    <w:rsid w:val="002C457A"/>
    <w:rsid w:val="002D3B86"/>
    <w:rsid w:val="002E20F0"/>
    <w:rsid w:val="002F2B87"/>
    <w:rsid w:val="002F74D7"/>
    <w:rsid w:val="0030064E"/>
    <w:rsid w:val="003113E5"/>
    <w:rsid w:val="00314ADC"/>
    <w:rsid w:val="00315E11"/>
    <w:rsid w:val="00331B18"/>
    <w:rsid w:val="00357728"/>
    <w:rsid w:val="00360466"/>
    <w:rsid w:val="0036192C"/>
    <w:rsid w:val="00363DD5"/>
    <w:rsid w:val="00364526"/>
    <w:rsid w:val="00370153"/>
    <w:rsid w:val="00370341"/>
    <w:rsid w:val="00374FE7"/>
    <w:rsid w:val="003918D7"/>
    <w:rsid w:val="003A4483"/>
    <w:rsid w:val="003C469E"/>
    <w:rsid w:val="003C5331"/>
    <w:rsid w:val="003D3B48"/>
    <w:rsid w:val="003D3D43"/>
    <w:rsid w:val="003E013F"/>
    <w:rsid w:val="003E2279"/>
    <w:rsid w:val="003E2DB9"/>
    <w:rsid w:val="003F0EB3"/>
    <w:rsid w:val="004061DA"/>
    <w:rsid w:val="004136CC"/>
    <w:rsid w:val="004231C3"/>
    <w:rsid w:val="0043797B"/>
    <w:rsid w:val="0045590B"/>
    <w:rsid w:val="00463DB5"/>
    <w:rsid w:val="004852A9"/>
    <w:rsid w:val="00487BAB"/>
    <w:rsid w:val="00492DE8"/>
    <w:rsid w:val="004934FE"/>
    <w:rsid w:val="004A3FEE"/>
    <w:rsid w:val="004A5AA2"/>
    <w:rsid w:val="004B70ED"/>
    <w:rsid w:val="004C7BF3"/>
    <w:rsid w:val="004D7062"/>
    <w:rsid w:val="004F1D9A"/>
    <w:rsid w:val="0050225B"/>
    <w:rsid w:val="0052155F"/>
    <w:rsid w:val="0052647A"/>
    <w:rsid w:val="00561687"/>
    <w:rsid w:val="00564BC6"/>
    <w:rsid w:val="005751FD"/>
    <w:rsid w:val="005848E9"/>
    <w:rsid w:val="005879C2"/>
    <w:rsid w:val="00587FDA"/>
    <w:rsid w:val="005F6AEE"/>
    <w:rsid w:val="00601FF7"/>
    <w:rsid w:val="00620E7C"/>
    <w:rsid w:val="00631E53"/>
    <w:rsid w:val="0063519D"/>
    <w:rsid w:val="006369AD"/>
    <w:rsid w:val="00637110"/>
    <w:rsid w:val="0068205B"/>
    <w:rsid w:val="00690F64"/>
    <w:rsid w:val="006C099B"/>
    <w:rsid w:val="006D149B"/>
    <w:rsid w:val="006E05EF"/>
    <w:rsid w:val="006E0C56"/>
    <w:rsid w:val="006E3488"/>
    <w:rsid w:val="006E74C4"/>
    <w:rsid w:val="006F154D"/>
    <w:rsid w:val="00700614"/>
    <w:rsid w:val="007030AE"/>
    <w:rsid w:val="00712B47"/>
    <w:rsid w:val="00714CE1"/>
    <w:rsid w:val="00715CA8"/>
    <w:rsid w:val="00724FEA"/>
    <w:rsid w:val="0072538A"/>
    <w:rsid w:val="00731755"/>
    <w:rsid w:val="007577CE"/>
    <w:rsid w:val="00761400"/>
    <w:rsid w:val="007740C9"/>
    <w:rsid w:val="00775878"/>
    <w:rsid w:val="00781146"/>
    <w:rsid w:val="00792B8B"/>
    <w:rsid w:val="007A255B"/>
    <w:rsid w:val="007A4412"/>
    <w:rsid w:val="007A7ACB"/>
    <w:rsid w:val="007B0741"/>
    <w:rsid w:val="007B3E00"/>
    <w:rsid w:val="007C2A90"/>
    <w:rsid w:val="007E479A"/>
    <w:rsid w:val="00804807"/>
    <w:rsid w:val="00810AFF"/>
    <w:rsid w:val="00811B63"/>
    <w:rsid w:val="00816A31"/>
    <w:rsid w:val="00825D04"/>
    <w:rsid w:val="008260A5"/>
    <w:rsid w:val="008647F3"/>
    <w:rsid w:val="008652CA"/>
    <w:rsid w:val="00866765"/>
    <w:rsid w:val="008756B6"/>
    <w:rsid w:val="0087787A"/>
    <w:rsid w:val="00881C42"/>
    <w:rsid w:val="00883CB9"/>
    <w:rsid w:val="00886C42"/>
    <w:rsid w:val="00891199"/>
    <w:rsid w:val="0089696A"/>
    <w:rsid w:val="008B4444"/>
    <w:rsid w:val="008B7D3C"/>
    <w:rsid w:val="008D4102"/>
    <w:rsid w:val="008F7DE8"/>
    <w:rsid w:val="0090172B"/>
    <w:rsid w:val="0090692F"/>
    <w:rsid w:val="00925784"/>
    <w:rsid w:val="00937519"/>
    <w:rsid w:val="009516C3"/>
    <w:rsid w:val="00971AD2"/>
    <w:rsid w:val="00981544"/>
    <w:rsid w:val="0098193F"/>
    <w:rsid w:val="00995549"/>
    <w:rsid w:val="009C6C4F"/>
    <w:rsid w:val="009D6A86"/>
    <w:rsid w:val="009D7027"/>
    <w:rsid w:val="009E270C"/>
    <w:rsid w:val="009E4123"/>
    <w:rsid w:val="00A008BC"/>
    <w:rsid w:val="00A030A7"/>
    <w:rsid w:val="00A362E5"/>
    <w:rsid w:val="00A46634"/>
    <w:rsid w:val="00A61698"/>
    <w:rsid w:val="00A64258"/>
    <w:rsid w:val="00A80DF5"/>
    <w:rsid w:val="00A93E89"/>
    <w:rsid w:val="00A95124"/>
    <w:rsid w:val="00AB088B"/>
    <w:rsid w:val="00AD30D2"/>
    <w:rsid w:val="00AF36C0"/>
    <w:rsid w:val="00B14304"/>
    <w:rsid w:val="00B21701"/>
    <w:rsid w:val="00B40995"/>
    <w:rsid w:val="00B508C5"/>
    <w:rsid w:val="00B572C2"/>
    <w:rsid w:val="00B70E34"/>
    <w:rsid w:val="00B71B20"/>
    <w:rsid w:val="00B91AAC"/>
    <w:rsid w:val="00B97032"/>
    <w:rsid w:val="00BA2703"/>
    <w:rsid w:val="00BE3D5B"/>
    <w:rsid w:val="00BF3542"/>
    <w:rsid w:val="00C0309C"/>
    <w:rsid w:val="00C32D00"/>
    <w:rsid w:val="00C35B0F"/>
    <w:rsid w:val="00C507F3"/>
    <w:rsid w:val="00CD0F75"/>
    <w:rsid w:val="00CD4CE2"/>
    <w:rsid w:val="00CE287B"/>
    <w:rsid w:val="00CE751A"/>
    <w:rsid w:val="00D064C5"/>
    <w:rsid w:val="00D11BB5"/>
    <w:rsid w:val="00D221A6"/>
    <w:rsid w:val="00D23407"/>
    <w:rsid w:val="00D34FFC"/>
    <w:rsid w:val="00D47EBB"/>
    <w:rsid w:val="00D54219"/>
    <w:rsid w:val="00D56777"/>
    <w:rsid w:val="00D66B83"/>
    <w:rsid w:val="00D90736"/>
    <w:rsid w:val="00DA2CE3"/>
    <w:rsid w:val="00DC5F50"/>
    <w:rsid w:val="00DD0F73"/>
    <w:rsid w:val="00DD767E"/>
    <w:rsid w:val="00DE202F"/>
    <w:rsid w:val="00DE210D"/>
    <w:rsid w:val="00DE21D3"/>
    <w:rsid w:val="00DF2534"/>
    <w:rsid w:val="00E15219"/>
    <w:rsid w:val="00E2620E"/>
    <w:rsid w:val="00E26D30"/>
    <w:rsid w:val="00E36E68"/>
    <w:rsid w:val="00E676F4"/>
    <w:rsid w:val="00E71C66"/>
    <w:rsid w:val="00E8474E"/>
    <w:rsid w:val="00EA1F0B"/>
    <w:rsid w:val="00EB14C9"/>
    <w:rsid w:val="00EB7AA8"/>
    <w:rsid w:val="00EE535D"/>
    <w:rsid w:val="00EF7E20"/>
    <w:rsid w:val="00F22EC8"/>
    <w:rsid w:val="00F25952"/>
    <w:rsid w:val="00F41814"/>
    <w:rsid w:val="00F51600"/>
    <w:rsid w:val="00F52152"/>
    <w:rsid w:val="00F66ABC"/>
    <w:rsid w:val="00F67F82"/>
    <w:rsid w:val="00F86158"/>
    <w:rsid w:val="00F961DF"/>
    <w:rsid w:val="00F97BB3"/>
    <w:rsid w:val="00FA7F78"/>
    <w:rsid w:val="00FB3F41"/>
    <w:rsid w:val="00FB7161"/>
    <w:rsid w:val="00FB73BB"/>
    <w:rsid w:val="00FD2D73"/>
    <w:rsid w:val="00FD3D78"/>
    <w:rsid w:val="00FE3BA9"/>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6AE03F88"/>
  <w15:docId w15:val="{2F7126D4-FEB6-44BE-801C-4FF05039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87BAB"/>
    <w:pPr>
      <w:spacing w:before="16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2A0A16"/>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B21701"/>
    <w:pPr>
      <w:keepLines/>
      <w:pageBreakBefore w:val="0"/>
      <w:spacing w:before="240" w:after="160"/>
      <w:outlineLvl w:val="3"/>
    </w:pPr>
    <w:rPr>
      <w:rFonts w:cstheme="majorBidi"/>
    </w:rPr>
  </w:style>
  <w:style w:type="paragraph" w:styleId="Heading5">
    <w:name w:val="heading 5"/>
    <w:basedOn w:val="Normal"/>
    <w:next w:val="Normal"/>
    <w:link w:val="Heading5Char"/>
    <w:qFormat/>
    <w:rsid w:val="00B21701"/>
    <w:pPr>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2A0A1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B21701"/>
    <w:rPr>
      <w:rFonts w:ascii="Tahoma" w:eastAsiaTheme="majorEastAsia" w:hAnsi="Tahoma" w:cstheme="majorBidi"/>
      <w:b/>
      <w:bCs/>
      <w:color w:val="004386" w:themeColor="text2"/>
      <w:kern w:val="32"/>
      <w:sz w:val="22"/>
      <w:szCs w:val="24"/>
      <w:lang w:val="en-GB" w:eastAsia="es-ES"/>
    </w:rPr>
  </w:style>
  <w:style w:type="character" w:customStyle="1" w:styleId="Heading5Char">
    <w:name w:val="Heading 5 Char"/>
    <w:basedOn w:val="DefaultParagraphFont"/>
    <w:link w:val="Heading5"/>
    <w:rsid w:val="00B21701"/>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1F30AE"/>
    <w:pPr>
      <w:spacing w:before="80" w:after="80" w:line="240" w:lineRule="auto"/>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487BAB"/>
    <w:pPr>
      <w:numPr>
        <w:numId w:val="16"/>
      </w:numPr>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styleId="NormalWeb">
    <w:name w:val="Normal (Web)"/>
    <w:basedOn w:val="Normal"/>
    <w:uiPriority w:val="99"/>
    <w:semiHidden/>
    <w:unhideWhenUsed/>
    <w:rsid w:val="004A5AA2"/>
    <w:pPr>
      <w:spacing w:before="100" w:beforeAutospacing="1" w:after="100" w:afterAutospacing="1" w:line="240" w:lineRule="auto"/>
    </w:pPr>
    <w:rPr>
      <w:rFonts w:ascii="Times" w:eastAsiaTheme="minorEastAsia" w:hAnsi="Times"/>
      <w:bCs w:val="0"/>
      <w:sz w:val="20"/>
      <w:szCs w:val="20"/>
      <w:lang w:eastAsia="en-US"/>
    </w:rPr>
  </w:style>
  <w:style w:type="paragraph" w:customStyle="1" w:styleId="credit">
    <w:name w:val="credit"/>
    <w:basedOn w:val="Normal"/>
    <w:qFormat/>
    <w:rsid w:val="00487BAB"/>
    <w:pPr>
      <w:spacing w:before="320"/>
      <w:jc w:val="right"/>
    </w:pPr>
    <w:rPr>
      <w:i/>
    </w:rPr>
  </w:style>
  <w:style w:type="table" w:customStyle="1" w:styleId="Grilledutableau1">
    <w:name w:val="Grille du tableau1"/>
    <w:basedOn w:val="TableNormal"/>
    <w:next w:val="TableGrid"/>
    <w:uiPriority w:val="59"/>
    <w:rsid w:val="00587FDA"/>
    <w:rPr>
      <w:rFonts w:ascii="Calibri" w:hAnsi="Calibri"/>
      <w:sz w:val="22"/>
      <w:szCs w:val="22"/>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rsid w:val="008D4102"/>
    <w:pPr>
      <w:spacing w:before="0" w:line="240" w:lineRule="auto"/>
      <w:jc w:val="both"/>
    </w:pPr>
    <w:rPr>
      <w:rFonts w:asciiTheme="minorHAnsi" w:eastAsiaTheme="minorEastAsia" w:hAnsiTheme="minorHAnsi" w:cstheme="minorBidi"/>
      <w:bCs w:val="0"/>
      <w:sz w:val="20"/>
      <w:szCs w:val="20"/>
      <w:lang w:eastAsia="en-US"/>
    </w:rPr>
  </w:style>
  <w:style w:type="character" w:customStyle="1" w:styleId="NoSpacingChar">
    <w:name w:val="No Spacing Char"/>
    <w:basedOn w:val="DefaultParagraphFont"/>
    <w:link w:val="NoSpacing"/>
    <w:uiPriority w:val="1"/>
    <w:rsid w:val="008D4102"/>
    <w:rPr>
      <w:rFonts w:asciiTheme="minorHAnsi" w:eastAsiaTheme="minorEastAsia" w:hAnsiTheme="minorHAnsi" w:cstheme="minorBid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940</Words>
  <Characters>5361</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15</cp:revision>
  <cp:lastPrinted>2015-01-05T09:17:00Z</cp:lastPrinted>
  <dcterms:created xsi:type="dcterms:W3CDTF">2015-10-07T16:36:00Z</dcterms:created>
  <dcterms:modified xsi:type="dcterms:W3CDTF">2015-10-09T15:50:00Z</dcterms:modified>
</cp:coreProperties>
</file>